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Commonwealth of Pennsylvania</w:t>
      </w:r>
    </w:p>
    <w:p>
      <w:r>
        <w:t>Bond / Issue: Commonwealth of Pennsylvania — General Obligation Bonds, First Series of 2026 and First Refunding Series of 2026</w:t>
      </w:r>
    </w:p>
    <w:p>
      <w:r>
        <w:t>CUSIP: Not provided</w:t>
      </w:r>
    </w:p>
    <w:p>
      <w:r>
        <w:t>Sector: State Government</w:t>
      </w:r>
    </w:p>
    <w:p>
      <w:r>
        <w:t>Bond Type: General Obligation</w:t>
      </w:r>
    </w:p>
    <w:p>
      <w:r>
        <w:t>State: Pennsylvania</w:t>
      </w:r>
    </w:p>
    <w:p>
      <w:r>
        <w:t>Analyst: MZ Test Pen</w:t>
      </w:r>
    </w:p>
    <w:p>
      <w:r>
        <w:t>Status: Preliminary</w:t>
      </w:r>
    </w:p>
    <w:p>
      <w:r>
        <w:t>System Recommendation: Watch | Score: 64</w:t>
      </w:r>
    </w:p>
    <w:p>
      <w:r>
        <w:t>Recommendation Basis: Preliminary score or unresolved data items support monitoring before a Buy decision.</w:t>
      </w:r>
    </w:p>
    <w:p>
      <w:r>
        <w:t>Analyst Recommendation: Watch</w:t>
      </w:r>
    </w:p>
    <w:p>
      <w:pPr>
        <w:pStyle w:val="Heading1"/>
      </w:pPr>
      <w:r>
        <w:t>Investment Thesis</w:t>
      </w:r>
    </w:p>
    <w:p>
      <w:r>
        <w:t>Recommendation: Watch</w:t>
      </w:r>
    </w:p>
    <w:p>
      <w:r>
        <w:t xml:space="preserve">Core Thesis:  </w:t>
        <w:br/>
        <w:t>The Commonwealth of Pennsylvania General Obligation Bonds, First Series of 2026 and First Refunding Series of 2026, warrant a Watch posture based on the preliminary rule-based score of 64, the system recommendation of Watch, and the presence of unresolved analyst-review items. The GO pledge and State Government issuer profile are supportive, and the framework shows positive contributions from economic resilience, debt burden / coverage, temporary funding dependency, governance / disclosure, and bond structure protections. However, the latest-year reported and adjusted recurring results both show a $3.666 billion deficit for fiscal 2025, following a $1.378 billion deficit in fiscal 2024, while General Fund balance / unrestricted reserves declined from $8.085 billion in fiscal 2023 to $4.156 billion in fiscal 2025. Temporary funding dependency is classified as Low in the metrics, with latest temporary funding at 0.0% of revenue, but multiple temporary, operating-support, reimbursement, capital-only, and unclear federal or special-fund findings remain unapproved and require analyst validation.</w:t>
      </w:r>
    </w:p>
    <w:p>
      <w:r>
        <w:t>Why This Bond May Be Attractive:</w:t>
        <w:br/>
        <w:t>- The bonds are General Obligation bonds of the Commonwealth of Pennsylvania, a State Government issuer.</w:t>
        <w:br/>
        <w:t>- The rule-based framework produced a Watch score of 64 rather than a Pass outcome.</w:t>
        <w:br/>
        <w:t>- Score components show positive contribution across several categories:</w:t>
        <w:br/>
        <w:t xml:space="preserve">  - Financial Trend Strength: 10</w:t>
        <w:br/>
        <w:t xml:space="preserve">  - Economic Resilience: 14</w:t>
        <w:br/>
        <w:t xml:space="preserve">  - Debt Burden / Coverage: 15</w:t>
        <w:br/>
        <w:t xml:space="preserve">  - Temporary Funding Dependency: 20</w:t>
        <w:br/>
        <w:t xml:space="preserve">  - Governance / Disclosure Quality: 8</w:t>
        <w:br/>
        <w:t xml:space="preserve">  - Bond Structure Protections: 5</w:t>
        <w:br/>
        <w:t>- Temporary funding dependency is classified as Low, with latest temporary funding equal to 0.0% of revenue in the rule-based metrics.</w:t>
        <w:br/>
        <w:t>- Reported and adjusted recurring results were positive in fiscal years 2021, 2022, and 2023:</w:t>
        <w:br/>
        <w:t xml:space="preserve">  - Fiscal 2021: $5.117 billion implied surplus.</w:t>
        <w:br/>
        <w:t xml:space="preserve">  - Fiscal 2022: $7.363 billion implied surplus.</w:t>
        <w:br/>
        <w:t xml:space="preserve">  - Fiscal 2023: $2.627 billion implied surplus.</w:t>
        <w:br/>
        <w:t>- General Fund balance / unrestricted reserves were reported at $4.156 billion for fiscal 2025.</w:t>
        <w:br/>
        <w:t>- The fiscal 2023 ACFR extraction notes a partial transfer of surplus to the Budget Stabilization Fund in the amount of $898, and later findings note $737 transfers related to budget stabilization, although these items remain classified as unclear / analyst review required.</w:t>
      </w:r>
    </w:p>
    <w:p>
      <w:r>
        <w:t>Why This Bond Requires Caution:</w:t>
        <w:br/>
        <w:t>- The latest-year reported surplus and adjusted surplus are both negative $3.666 billion for fiscal 2025.</w:t>
        <w:br/>
        <w:t>- The rule-based red flags identify:</w:t>
        <w:br/>
        <w:t xml:space="preserve">  - Latest-year adjusted recurring results show a deficit.</w:t>
        <w:br/>
        <w:t xml:space="preserve">  - Possible temporary funding used for operating support.</w:t>
        <w:br/>
        <w:t xml:space="preserve">  - High-risk temporary funding reference requires analyst review.</w:t>
        <w:br/>
        <w:t>- Fiscal 2024 and fiscal 2025 both show deficits:</w:t>
        <w:br/>
        <w:t xml:space="preserve">  - Fiscal 2024: revenue of $93.003 billion versus expenses of $94.381 billion, implying a $1.378 billion deficit.</w:t>
        <w:br/>
        <w:t xml:space="preserve">  - Fiscal 2025: revenue of $98.312 billion versus expenses of $101.978 billion, implying a $3.666 billion deficit.</w:t>
        <w:br/>
        <w:t>- General Fund balance / unrestricted reserves declined from $8.085 billion in fiscal 2023 to $6.632 billion in fiscal 2024 and $4.156 billion in fiscal 2025.</w:t>
        <w:br/>
        <w:t>- All annual financial trend rows are</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10</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15</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8</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2021</w:t>
            </w:r>
          </w:p>
        </w:tc>
        <w:tc>
          <w:tcPr>
            <w:tcW w:type="dxa" w:w="1104"/>
          </w:tcPr>
          <w:p>
            <w:r>
              <w:t>93885000000.0</w:t>
            </w:r>
          </w:p>
        </w:tc>
        <w:tc>
          <w:tcPr>
            <w:tcW w:type="dxa" w:w="1104"/>
          </w:tcPr>
          <w:p>
            <w:r>
              <w:t>93885000000.0</w:t>
            </w:r>
          </w:p>
        </w:tc>
        <w:tc>
          <w:tcPr>
            <w:tcW w:type="dxa" w:w="1104"/>
          </w:tcPr>
          <w:p>
            <w:r>
              <w:t>0.0</w:t>
            </w:r>
          </w:p>
        </w:tc>
        <w:tc>
          <w:tcPr>
            <w:tcW w:type="dxa" w:w="1104"/>
          </w:tcPr>
          <w:p>
            <w:r>
              <w:t>88768000000.0</w:t>
            </w:r>
          </w:p>
        </w:tc>
        <w:tc>
          <w:tcPr>
            <w:tcW w:type="dxa" w:w="1104"/>
          </w:tcPr>
          <w:p>
            <w:r>
              <w:t>0.0</w:t>
            </w:r>
          </w:p>
        </w:tc>
        <w:tc>
          <w:tcPr>
            <w:tcW w:type="dxa" w:w="1104"/>
          </w:tcPr>
          <w:p>
            <w:r>
              <w:t>0.0</w:t>
            </w:r>
          </w:p>
        </w:tc>
        <w:tc>
          <w:tcPr>
            <w:tcW w:type="dxa" w:w="1104"/>
          </w:tcPr>
          <w:p>
            <w:r>
              <w:t>0.0</w:t>
            </w:r>
          </w:p>
        </w:tc>
        <w:tc>
          <w:tcPr>
            <w:tcW w:type="dxa" w:w="1104"/>
          </w:tcPr>
          <w:p>
            <w:r>
              <w:t>AI extracted from june-30-2021-acfr.pdf. Analyst review required. Deterministic State/Commonwealth ACFR extraction from budgetary-basis General Fund language. Revenue collections 93,885,000,000; appropriation authorizations/expenditures 88,768,000,000; implied adjusted surplus/deficit 5,117,000,000; year-end General Fund balance 0. Amounts were stated in millions in the ACFR and converted to dollars. Analyst should reconcile budgetary basis against GAAP governmental fund statements before final approval.</w:t>
            </w:r>
          </w:p>
        </w:tc>
      </w:tr>
      <w:tr>
        <w:tc>
          <w:tcPr>
            <w:tcW w:type="dxa" w:w="1104"/>
          </w:tcPr>
          <w:p>
            <w:r>
              <w:t>2022</w:t>
            </w:r>
          </w:p>
        </w:tc>
        <w:tc>
          <w:tcPr>
            <w:tcW w:type="dxa" w:w="1104"/>
          </w:tcPr>
          <w:p>
            <w:r>
              <w:t>108013000000.0</w:t>
            </w:r>
          </w:p>
        </w:tc>
        <w:tc>
          <w:tcPr>
            <w:tcW w:type="dxa" w:w="1104"/>
          </w:tcPr>
          <w:p>
            <w:r>
              <w:t>108013000000.0</w:t>
            </w:r>
          </w:p>
        </w:tc>
        <w:tc>
          <w:tcPr>
            <w:tcW w:type="dxa" w:w="1104"/>
          </w:tcPr>
          <w:p>
            <w:r>
              <w:t>0.0</w:t>
            </w:r>
          </w:p>
        </w:tc>
        <w:tc>
          <w:tcPr>
            <w:tcW w:type="dxa" w:w="1104"/>
          </w:tcPr>
          <w:p>
            <w:r>
              <w:t>100650000000.0</w:t>
            </w:r>
          </w:p>
        </w:tc>
        <w:tc>
          <w:tcPr>
            <w:tcW w:type="dxa" w:w="1104"/>
          </w:tcPr>
          <w:p>
            <w:r>
              <w:t>0.0</w:t>
            </w:r>
          </w:p>
        </w:tc>
        <w:tc>
          <w:tcPr>
            <w:tcW w:type="dxa" w:w="1104"/>
          </w:tcPr>
          <w:p>
            <w:r>
              <w:t>5537000000.0</w:t>
            </w:r>
          </w:p>
        </w:tc>
        <w:tc>
          <w:tcPr>
            <w:tcW w:type="dxa" w:w="1104"/>
          </w:tcPr>
          <w:p>
            <w:r>
              <w:t>5537000000.0</w:t>
            </w:r>
          </w:p>
        </w:tc>
        <w:tc>
          <w:tcPr>
            <w:tcW w:type="dxa" w:w="1104"/>
          </w:tcPr>
          <w:p>
            <w:r>
              <w:t>AI extracted from june-30-2022-acfr.pdf. Analyst review required. Deterministic State/Commonwealth ACFR extraction from budgetary-basis General Fund language. Revenue collections 108,013,000,000; appropriation authorizations/expenditures 100,650,000,000; implied adjusted surplus/deficit 7,363,000,000; year-end General Fund balance 5,537,000,000. Amounts were stated in millions in the ACFR and converted to dollars. Analyst should reconcile budgetary basis against GAAP governmental fund statements before final approval.</w:t>
            </w:r>
          </w:p>
        </w:tc>
      </w:tr>
      <w:tr>
        <w:tc>
          <w:tcPr>
            <w:tcW w:type="dxa" w:w="1104"/>
          </w:tcPr>
          <w:p>
            <w:r>
              <w:t>2023</w:t>
            </w:r>
          </w:p>
        </w:tc>
        <w:tc>
          <w:tcPr>
            <w:tcW w:type="dxa" w:w="1104"/>
          </w:tcPr>
          <w:p>
            <w:r>
              <w:t>93791000000.0</w:t>
            </w:r>
          </w:p>
        </w:tc>
        <w:tc>
          <w:tcPr>
            <w:tcW w:type="dxa" w:w="1104"/>
          </w:tcPr>
          <w:p>
            <w:r>
              <w:t>93791000000.0</w:t>
            </w:r>
          </w:p>
        </w:tc>
        <w:tc>
          <w:tcPr>
            <w:tcW w:type="dxa" w:w="1104"/>
          </w:tcPr>
          <w:p>
            <w:r>
              <w:t>0.0</w:t>
            </w:r>
          </w:p>
        </w:tc>
        <w:tc>
          <w:tcPr>
            <w:tcW w:type="dxa" w:w="1104"/>
          </w:tcPr>
          <w:p>
            <w:r>
              <w:t>91164000000.0</w:t>
            </w:r>
          </w:p>
        </w:tc>
        <w:tc>
          <w:tcPr>
            <w:tcW w:type="dxa" w:w="1104"/>
          </w:tcPr>
          <w:p>
            <w:r>
              <w:t>0.0</w:t>
            </w:r>
          </w:p>
        </w:tc>
        <w:tc>
          <w:tcPr>
            <w:tcW w:type="dxa" w:w="1104"/>
          </w:tcPr>
          <w:p>
            <w:r>
              <w:t>8085000000.0</w:t>
            </w:r>
          </w:p>
        </w:tc>
        <w:tc>
          <w:tcPr>
            <w:tcW w:type="dxa" w:w="1104"/>
          </w:tcPr>
          <w:p>
            <w:r>
              <w:t>8085000000.0</w:t>
            </w:r>
          </w:p>
        </w:tc>
        <w:tc>
          <w:tcPr>
            <w:tcW w:type="dxa" w:w="1104"/>
          </w:tcPr>
          <w:p>
            <w:r>
              <w:t>AI extracted from june-30-2023-acfr.pdf. Analyst review required. Deterministic State/Commonwealth ACFR extraction from budgetary-basis General Fund language. Revenue collections 93,791,000,000; appropriation authorizations/expenditures 91,164,000,000; implied adjusted surplus/deficit 2,627,000,000; year-end General Fund balance 8,085,000,000. Amounts were stated in millions in the ACFR and converted to dollars. Analyst should reconcile budgetary basis against GAAP governmental fund statements before final approval.</w:t>
            </w:r>
          </w:p>
        </w:tc>
      </w:tr>
      <w:tr>
        <w:tc>
          <w:tcPr>
            <w:tcW w:type="dxa" w:w="1104"/>
          </w:tcPr>
          <w:p>
            <w:r>
              <w:t>2024</w:t>
            </w:r>
          </w:p>
        </w:tc>
        <w:tc>
          <w:tcPr>
            <w:tcW w:type="dxa" w:w="1104"/>
          </w:tcPr>
          <w:p>
            <w:r>
              <w:t>93003000000.0</w:t>
            </w:r>
          </w:p>
        </w:tc>
        <w:tc>
          <w:tcPr>
            <w:tcW w:type="dxa" w:w="1104"/>
          </w:tcPr>
          <w:p>
            <w:r>
              <w:t>93003000000.0</w:t>
            </w:r>
          </w:p>
        </w:tc>
        <w:tc>
          <w:tcPr>
            <w:tcW w:type="dxa" w:w="1104"/>
          </w:tcPr>
          <w:p>
            <w:r>
              <w:t>0.0</w:t>
            </w:r>
          </w:p>
        </w:tc>
        <w:tc>
          <w:tcPr>
            <w:tcW w:type="dxa" w:w="1104"/>
          </w:tcPr>
          <w:p>
            <w:r>
              <w:t>94381000000.0</w:t>
            </w:r>
          </w:p>
        </w:tc>
        <w:tc>
          <w:tcPr>
            <w:tcW w:type="dxa" w:w="1104"/>
          </w:tcPr>
          <w:p>
            <w:r>
              <w:t>0.0</w:t>
            </w:r>
          </w:p>
        </w:tc>
        <w:tc>
          <w:tcPr>
            <w:tcW w:type="dxa" w:w="1104"/>
          </w:tcPr>
          <w:p>
            <w:r>
              <w:t>6632000000.0</w:t>
            </w:r>
          </w:p>
        </w:tc>
        <w:tc>
          <w:tcPr>
            <w:tcW w:type="dxa" w:w="1104"/>
          </w:tcPr>
          <w:p>
            <w:r>
              <w:t>6632000000.0</w:t>
            </w:r>
          </w:p>
        </w:tc>
        <w:tc>
          <w:tcPr>
            <w:tcW w:type="dxa" w:w="1104"/>
          </w:tcPr>
          <w:p>
            <w:r>
              <w:t>AI extracted from june-30-2024_acfr.pdf. Analyst review required. Deterministic State/Commonwealth ACFR extraction from budgetary-basis General Fund language. Revenue collections 93,003,000,000; appropriation authorizations/expenditures 94,381,000,000; implied adjusted surplus/deficit -1,378,000,000; year-end General Fund balance 6,632,000,000. Amounts were stated in millions in the ACFR and converted to dollars. Analyst should reconcile budgetary basis against GAAP governmental fund statements before final approval.</w:t>
            </w:r>
          </w:p>
        </w:tc>
      </w:tr>
      <w:tr>
        <w:tc>
          <w:tcPr>
            <w:tcW w:type="dxa" w:w="1104"/>
          </w:tcPr>
          <w:p>
            <w:r>
              <w:t>2025</w:t>
            </w:r>
          </w:p>
        </w:tc>
        <w:tc>
          <w:tcPr>
            <w:tcW w:type="dxa" w:w="1104"/>
          </w:tcPr>
          <w:p>
            <w:r>
              <w:t>98312000000.0</w:t>
            </w:r>
          </w:p>
        </w:tc>
        <w:tc>
          <w:tcPr>
            <w:tcW w:type="dxa" w:w="1104"/>
          </w:tcPr>
          <w:p>
            <w:r>
              <w:t>98312000000.0</w:t>
            </w:r>
          </w:p>
        </w:tc>
        <w:tc>
          <w:tcPr>
            <w:tcW w:type="dxa" w:w="1104"/>
          </w:tcPr>
          <w:p>
            <w:r>
              <w:t>0.0</w:t>
            </w:r>
          </w:p>
        </w:tc>
        <w:tc>
          <w:tcPr>
            <w:tcW w:type="dxa" w:w="1104"/>
          </w:tcPr>
          <w:p>
            <w:r>
              <w:t>101978000000.0</w:t>
            </w:r>
          </w:p>
        </w:tc>
        <w:tc>
          <w:tcPr>
            <w:tcW w:type="dxa" w:w="1104"/>
          </w:tcPr>
          <w:p>
            <w:r>
              <w:t>0.0</w:t>
            </w:r>
          </w:p>
        </w:tc>
        <w:tc>
          <w:tcPr>
            <w:tcW w:type="dxa" w:w="1104"/>
          </w:tcPr>
          <w:p>
            <w:r>
              <w:t>4156000000.0</w:t>
            </w:r>
          </w:p>
        </w:tc>
        <w:tc>
          <w:tcPr>
            <w:tcW w:type="dxa" w:w="1104"/>
          </w:tcPr>
          <w:p>
            <w:r>
              <w:t>4156000000.0</w:t>
            </w:r>
          </w:p>
        </w:tc>
        <w:tc>
          <w:tcPr>
            <w:tcW w:type="dxa" w:w="1104"/>
          </w:tcPr>
          <w:p>
            <w:r>
              <w:t>AI extracted from june-30-2025_acfr.pdf. Analyst review required. Deterministic State/Commonwealth ACFR extraction from budgetary-basis General Fund language. Revenue collections 98,312,000,000; appropriation authorizations/expenditures 101,978,000,000; implied adjusted surplus/deficit -3,666,000,000; year-end General Fund balance 4,156,000,000. Amounts were stated in millions in the ACFR and converted to dollars. Analyst should reconcile budgetary basis against GAAP governmental fund statements before final approval.</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Fiscal recovery funds</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28</w:t>
            </w:r>
          </w:p>
        </w:tc>
        <w:tc>
          <w:tcPr>
            <w:tcW w:type="dxa" w:w="1656"/>
          </w:tcPr>
          <w:p>
            <w:r>
              <w:t>Additionally CFA, hada $718 increasein cashdueto transfers fromthe Local Shareand State Fiscal Recovery funds.</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9</w:t>
            </w:r>
          </w:p>
        </w:tc>
        <w:tc>
          <w:tcPr>
            <w:tcW w:type="dxa" w:w="1656"/>
          </w:tcPr>
          <w:p>
            <w:r>
              <w:t>Fund Balance Increase/(Decrease) Last Five Fiscal Yearsat June 30 Fiscal year Balance/Deficit Increase/Decrease 2023 $ 8,085 $ 2,538 2022 (revised) 5,546 5,542 2021 (revised) 4 2,719 2020 (revised) (2,715) (2,745) 2019 (revised) 30 63 Duringthe fiscal year ended June 30, 2023, General Fund revenues exceeded General Fund expendituresby $2,627, resultingina partial transferofthe surplus, after prior year lapses, tothe Budget Stabilization Fundinthe amountof $898.</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june-30-2023-acfr.pdf | Page 25</w:t>
            </w:r>
          </w:p>
        </w:tc>
        <w:tc>
          <w:tcPr>
            <w:tcW w:type="dxa" w:w="1656"/>
          </w:tcPr>
          <w:p>
            <w:r>
              <w:t>Internal service fundsare designedto functionona cost-reimbursement basis, primarily providing benefitsto other funds, departmentsor agenciesofthe Commonwealth.</w:t>
            </w:r>
          </w:p>
        </w:tc>
      </w:tr>
      <w:tr>
        <w:tc>
          <w:tcPr>
            <w:tcW w:type="dxa" w:w="1656"/>
          </w:tcPr>
          <w:p>
            <w:r>
              <w:t>Rescue plan</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june-30-2023-acfr.pdf | Page 79</w:t>
            </w:r>
          </w:p>
        </w:tc>
        <w:tc>
          <w:tcPr>
            <w:tcW w:type="dxa" w:w="1656"/>
          </w:tcPr>
          <w:p>
            <w:r>
              <w:t>Revenuesare derived fromthe saleof lottery tickets, interest earnedon securitiesand deposits, unclaimed prize monies, and federal grants.</w:t>
            </w:r>
          </w:p>
        </w:tc>
      </w:tr>
      <w:tr>
        <w:tc>
          <w:tcPr>
            <w:tcW w:type="dxa" w:w="1656"/>
          </w:tcPr>
          <w:p>
            <w:r>
              <w:t>One-time</w:t>
            </w:r>
          </w:p>
        </w:tc>
        <w:tc>
          <w:tcPr>
            <w:tcW w:type="dxa" w:w="1656"/>
          </w:tcPr>
          <w:p>
            <w:r>
              <w:t>Temporary Funding</w:t>
            </w:r>
          </w:p>
        </w:tc>
        <w:tc>
          <w:tcPr>
            <w:tcW w:type="dxa" w:w="1656"/>
          </w:tcPr>
          <w:p>
            <w:r>
              <w:t>Medium</w:t>
            </w:r>
          </w:p>
        </w:tc>
        <w:tc>
          <w:tcPr>
            <w:tcW w:type="dxa" w:w="1656"/>
          </w:tcPr>
          <w:p>
            <w:r>
              <w:t>Medium</w:t>
            </w:r>
          </w:p>
        </w:tc>
        <w:tc>
          <w:tcPr>
            <w:tcW w:type="dxa" w:w="1656"/>
          </w:tcPr>
          <w:p>
            <w:r>
              <w:t>june-30-2023-acfr.pdf | Page 34</w:t>
            </w:r>
          </w:p>
        </w:tc>
        <w:tc>
          <w:tcPr>
            <w:tcW w:type="dxa" w:w="1656"/>
          </w:tcPr>
          <w:p>
            <w:r>
              <w:t>The decreaseindueto other fundswas largelyduetotheone-time supplemental reduction fromthe Motor License Fundto MANAGEMENT'S DISCUSSION AND ANALYSIS June 30, 2023 Commonwealthof Pennsylvania 32 Governor's Officeofthe Budgetwww.pa.govwww.budget.pa.gov --- Page 35 --- the Pennsylvania State Police (PSP) General Fund that occurredinthe prior yeardueto Act 1-Aof 2022.</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32</w:t>
            </w:r>
          </w:p>
        </w:tc>
        <w:tc>
          <w:tcPr>
            <w:tcW w:type="dxa" w:w="1656"/>
          </w:tcPr>
          <w:p>
            <w:r>
              <w:t>Additionally, the Departmentof Education experienceda decreasein federal fundingof $689 forthe ESSER, GEER, IDEA, and others.</w:t>
            </w:r>
          </w:p>
        </w:tc>
      </w:tr>
      <w:tr>
        <w:tc>
          <w:tcPr>
            <w:tcW w:type="dxa" w:w="1656"/>
          </w:tcPr>
          <w:p>
            <w:r>
              <w:t>American Rescue Plan</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ARPA</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9</w:t>
            </w:r>
          </w:p>
        </w:tc>
        <w:tc>
          <w:tcPr>
            <w:tcW w:type="dxa" w:w="1656"/>
          </w:tcPr>
          <w:p>
            <w:r>
              <w:t>- LONG-TERM FINANCIAL PLANNING During fiscal year 2022-23, the Commonwealth continuedits commitmentto redevelopits fiscal strategiesto improvethe strengthofits General Fund, largelyby maximizingtheuseof federal funding opportunities provided throughthe CARES Actandthe American Rescue Plan Act (ARPA) and continued utilizationof other special fundsto meet critical programand administrative needs.</w:t>
            </w:r>
          </w:p>
        </w:tc>
      </w:tr>
      <w:tr>
        <w:tc>
          <w:tcPr>
            <w:tcW w:type="dxa" w:w="1656"/>
          </w:tcPr>
          <w:p>
            <w:r>
              <w:t>Coronavirus</w:t>
            </w:r>
          </w:p>
        </w:tc>
        <w:tc>
          <w:tcPr>
            <w:tcW w:type="dxa" w:w="1656"/>
          </w:tcPr>
          <w:p>
            <w:r>
              <w:t>Temporary Funding</w:t>
            </w:r>
          </w:p>
        </w:tc>
        <w:tc>
          <w:tcPr>
            <w:tcW w:type="dxa" w:w="1656"/>
          </w:tcPr>
          <w:p>
            <w:r>
              <w:t>Medium</w:t>
            </w:r>
          </w:p>
        </w:tc>
        <w:tc>
          <w:tcPr>
            <w:tcW w:type="dxa" w:w="1656"/>
          </w:tcPr>
          <w:p>
            <w:r>
              <w:t>High</w:t>
            </w:r>
          </w:p>
        </w:tc>
        <w:tc>
          <w:tcPr>
            <w:tcW w:type="dxa" w:w="1656"/>
          </w:tcPr>
          <w:p>
            <w:r>
              <w:t>june-30-2023-acfr.pdf | Page 34</w:t>
            </w:r>
          </w:p>
        </w:tc>
        <w:tc>
          <w:tcPr>
            <w:tcW w:type="dxa" w:w="1656"/>
          </w:tcPr>
          <w:p>
            <w:r>
              <w:t>In May 2021, the Commonwealth received $7,291 of federal Coronavirus State Fiscal Recovery Fund (SFR) monies, which were provided underthe ARPA.</w:t>
            </w:r>
          </w:p>
        </w:tc>
      </w:tr>
      <w:tr>
        <w:tc>
          <w:tcPr>
            <w:tcW w:type="dxa" w:w="1656"/>
          </w:tcPr>
          <w:p>
            <w:r>
              <w:t>COVID</w:t>
            </w:r>
          </w:p>
        </w:tc>
        <w:tc>
          <w:tcPr>
            <w:tcW w:type="dxa" w:w="1656"/>
          </w:tcPr>
          <w:p>
            <w:r>
              <w:t>Operating Support</w:t>
            </w:r>
          </w:p>
        </w:tc>
        <w:tc>
          <w:tcPr>
            <w:tcW w:type="dxa" w:w="1656"/>
          </w:tcPr>
          <w:p>
            <w:r>
              <w:t>High</w:t>
            </w:r>
          </w:p>
        </w:tc>
        <w:tc>
          <w:tcPr>
            <w:tcW w:type="dxa" w:w="1656"/>
          </w:tcPr>
          <w:p>
            <w:r>
              <w:t>High</w:t>
            </w:r>
          </w:p>
        </w:tc>
        <w:tc>
          <w:tcPr>
            <w:tcW w:type="dxa" w:w="1656"/>
          </w:tcPr>
          <w:p>
            <w:r>
              <w:t>june-30-2023-acfr.pdf | Page 31</w:t>
            </w:r>
          </w:p>
        </w:tc>
        <w:tc>
          <w:tcPr>
            <w:tcW w:type="dxa" w:w="1656"/>
          </w:tcPr>
          <w:p>
            <w:r>
              <w:t>The Departmentof Human Servicessawan increasein COVID funding relatedtothe medical assistance program, buta portionof thatwas offsetbythe Supplemental Nutrition Assistance Program (SNAP), which provides nutrition benefitsto supplementthe food budgetof needy families, whichsawa decreasein funding overthe prior yearas COVID emergency benefits ended.</w:t>
            </w:r>
          </w:p>
        </w:tc>
      </w:tr>
      <w:tr>
        <w:tc>
          <w:tcPr>
            <w:tcW w:type="dxa" w:w="1656"/>
          </w:tcPr>
          <w:p>
            <w:r>
              <w:t>Fiscal recovery funds</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47</w:t>
            </w:r>
          </w:p>
        </w:tc>
        <w:tc>
          <w:tcPr>
            <w:tcW w:type="dxa" w:w="1656"/>
          </w:tcPr>
          <w:p>
            <w:r>
              <w:t>The American Rescue Plan Actof 2021 (ARPA) provided stateand local governments with additional pandemic reliefinthe formof Stateand Local Fiscal Recovery Funds (SLFRF), which allow governments' broad discretionin mitigatingthe pandemic impacts, includingthe government'sown revenue losses.</w:t>
            </w:r>
          </w:p>
        </w:tc>
      </w:tr>
      <w:tr>
        <w:tc>
          <w:tcPr>
            <w:tcW w:type="dxa" w:w="1656"/>
          </w:tcPr>
          <w:p>
            <w:r>
              <w:t>Budget stabilization</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june-30-2024_acfr.pdf | Page 9</w:t>
            </w:r>
          </w:p>
        </w:tc>
        <w:tc>
          <w:tcPr>
            <w:tcW w:type="dxa" w:w="1656"/>
          </w:tcPr>
          <w:p>
            <w:r>
              <w:t>After accountingforthe prior year's remaining surplus, $737 was transferredtothe Budget Stabilization Fund.</w:t>
            </w:r>
          </w:p>
        </w:tc>
      </w:tr>
      <w:tr>
        <w:tc>
          <w:tcPr>
            <w:tcW w:type="dxa" w:w="1656"/>
          </w:tcPr>
          <w:p>
            <w:r>
              <w:t>Reimbursement</w:t>
            </w:r>
          </w:p>
        </w:tc>
        <w:tc>
          <w:tcPr>
            <w:tcW w:type="dxa" w:w="1656"/>
          </w:tcPr>
          <w:p>
            <w:r>
              <w:t>Reimbursement Funding</w:t>
            </w:r>
          </w:p>
        </w:tc>
        <w:tc>
          <w:tcPr>
            <w:tcW w:type="dxa" w:w="1656"/>
          </w:tcPr>
          <w:p>
            <w:r>
              <w:t>High</w:t>
            </w:r>
          </w:p>
        </w:tc>
        <w:tc>
          <w:tcPr>
            <w:tcW w:type="dxa" w:w="1656"/>
          </w:tcPr>
          <w:p>
            <w:r>
              <w:t>Medium</w:t>
            </w:r>
          </w:p>
        </w:tc>
        <w:tc>
          <w:tcPr>
            <w:tcW w:type="dxa" w:w="1656"/>
          </w:tcPr>
          <w:p>
            <w:r>
              <w:t>june-30-2024_acfr.pdf | Page 25</w:t>
            </w:r>
          </w:p>
        </w:tc>
        <w:tc>
          <w:tcPr>
            <w:tcW w:type="dxa" w:w="1656"/>
          </w:tcPr>
          <w:p>
            <w:r>
              <w:t>Internal service fundsare designedto functionona cost-reimbursement basis, primarily providing benefitsto other funds, departments, or agenciesofthe Commonwealth.</w:t>
            </w:r>
          </w:p>
        </w:tc>
      </w:tr>
      <w:tr>
        <w:tc>
          <w:tcPr>
            <w:tcW w:type="dxa" w:w="1656"/>
          </w:tcPr>
          <w:p>
            <w:r>
              <w:t>Rescue plan</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june-30-2024_acfr.pdf | Page 34</w:t>
            </w:r>
          </w:p>
        </w:tc>
        <w:tc>
          <w:tcPr>
            <w:tcW w:type="dxa" w:w="1656"/>
          </w:tcPr>
          <w:p>
            <w:r>
              <w:t>This decreasewas partially offsetbya $190 increasein federal grants collectedin advance, whichwas largely comprisedof $176 issuedbythe Officeof Surface Mining Reclamationand Enforcementfor abandoned coal mine reclamation projectstobe administeredbythe Departmentof Environmental Protection.</w:t>
            </w:r>
          </w:p>
        </w:tc>
      </w:tr>
      <w:tr>
        <w:tc>
          <w:tcPr>
            <w:tcW w:type="dxa" w:w="1656"/>
          </w:tcPr>
          <w:p>
            <w:r>
              <w:t>One-time</w:t>
            </w:r>
          </w:p>
        </w:tc>
        <w:tc>
          <w:tcPr>
            <w:tcW w:type="dxa" w:w="1656"/>
          </w:tcPr>
          <w:p>
            <w:r>
              <w:t>Temporary Funding</w:t>
            </w:r>
          </w:p>
        </w:tc>
        <w:tc>
          <w:tcPr>
            <w:tcW w:type="dxa" w:w="1656"/>
          </w:tcPr>
          <w:p>
            <w:r>
              <w:t>Medium</w:t>
            </w:r>
          </w:p>
        </w:tc>
        <w:tc>
          <w:tcPr>
            <w:tcW w:type="dxa" w:w="1656"/>
          </w:tcPr>
          <w:p>
            <w:r>
              <w:t>Medium</w:t>
            </w:r>
          </w:p>
        </w:tc>
        <w:tc>
          <w:tcPr>
            <w:tcW w:type="dxa" w:w="1656"/>
          </w:tcPr>
          <w:p>
            <w:r>
              <w:t>june-30-2024_acfr.pdf | Page 201</w:t>
            </w:r>
          </w:p>
        </w:tc>
        <w:tc>
          <w:tcPr>
            <w:tcW w:type="dxa" w:w="1656"/>
          </w:tcPr>
          <w:p>
            <w:r>
              <w:t>(3) Act 2019-105 allows eligible employersto makeaone-time lump-sum paymentof their respective unfunded liability.</w:t>
            </w:r>
          </w:p>
        </w:tc>
      </w:tr>
      <w:tr>
        <w:tc>
          <w:tcPr>
            <w:tcW w:type="dxa" w:w="1656"/>
          </w:tcPr>
          <w:p>
            <w:r>
              <w:t>Emergency relief</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ESSER</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American Rescue Plan</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ARPA</w:t>
            </w:r>
          </w:p>
        </w:tc>
        <w:tc>
          <w:tcPr>
            <w:tcW w:type="dxa" w:w="1656"/>
          </w:tcPr>
          <w:p>
            <w:r>
              <w:t>Capital-Only Funding</w:t>
            </w:r>
          </w:p>
        </w:tc>
        <w:tc>
          <w:tcPr>
            <w:tcW w:type="dxa" w:w="1656"/>
          </w:tcPr>
          <w:p>
            <w:r>
              <w:t>Low</w:t>
            </w:r>
          </w:p>
        </w:tc>
        <w:tc>
          <w:tcPr>
            <w:tcW w:type="dxa" w:w="1656"/>
          </w:tcPr>
          <w:p>
            <w:r>
              <w:t>High</w:t>
            </w:r>
          </w:p>
        </w:tc>
        <w:tc>
          <w:tcPr>
            <w:tcW w:type="dxa" w:w="1656"/>
          </w:tcPr>
          <w:p>
            <w:r>
              <w:t>june-30-2024_acfr.pdf | Page 10</w:t>
            </w:r>
          </w:p>
        </w:tc>
        <w:tc>
          <w:tcPr>
            <w:tcW w:type="dxa" w:w="1656"/>
          </w:tcPr>
          <w:p>
            <w:r>
              <w:t>LONG-TERM FINANCIAL PLANNING During fiscal year 2023-24, the Commonwealth continuedits commitmentto redevelopits fiscal strategiesto improvethe strengthofits General Fund, largelyby maximizingtheuseof federal funding opportunities provided throughthe Infrastructure Investmentand Jobs Act (IIJA), the Inflation Reduction Act (IRA) and remaining funds provided throughthe American Rescue Plan Act (ARPA), while also continuingto utilize other special fundsto meet critical programand administrative needs.</w:t>
            </w:r>
          </w:p>
        </w:tc>
      </w:tr>
      <w:tr>
        <w:tc>
          <w:tcPr>
            <w:tcW w:type="dxa" w:w="1656"/>
          </w:tcPr>
          <w:p>
            <w:r>
              <w:t>Coronavirus</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34</w:t>
            </w:r>
          </w:p>
        </w:tc>
        <w:tc>
          <w:tcPr>
            <w:tcW w:type="dxa" w:w="1656"/>
          </w:tcPr>
          <w:p>
            <w:r>
              <w:t>In May 2021, the Commonwealth received $7,291 of federal Coronavirus State Fiscal Recovery Fund (SFR) monies, which were provided underthe ARPA.</w:t>
            </w:r>
          </w:p>
        </w:tc>
      </w:tr>
      <w:tr>
        <w:tc>
          <w:tcPr>
            <w:tcW w:type="dxa" w:w="1656"/>
          </w:tcPr>
          <w:p>
            <w:r>
              <w:t>COVID</w:t>
            </w:r>
          </w:p>
        </w:tc>
        <w:tc>
          <w:tcPr>
            <w:tcW w:type="dxa" w:w="1656"/>
          </w:tcPr>
          <w:p>
            <w:r>
              <w:t>Temporary Funding</w:t>
            </w:r>
          </w:p>
        </w:tc>
        <w:tc>
          <w:tcPr>
            <w:tcW w:type="dxa" w:w="1656"/>
          </w:tcPr>
          <w:p>
            <w:r>
              <w:t>Medium</w:t>
            </w:r>
          </w:p>
        </w:tc>
        <w:tc>
          <w:tcPr>
            <w:tcW w:type="dxa" w:w="1656"/>
          </w:tcPr>
          <w:p>
            <w:r>
              <w:t>High</w:t>
            </w:r>
          </w:p>
        </w:tc>
        <w:tc>
          <w:tcPr>
            <w:tcW w:type="dxa" w:w="1656"/>
          </w:tcPr>
          <w:p>
            <w:r>
              <w:t>june-30-2024_acfr.pdf | Page 28</w:t>
            </w:r>
          </w:p>
        </w:tc>
        <w:tc>
          <w:tcPr>
            <w:tcW w:type="dxa" w:w="1656"/>
          </w:tcPr>
          <w:p>
            <w:r>
              <w:t>The increaseis primarily attributabletoa $1,257 increasein payments owedtothe Departmentof Education fromthe Federal Governmentfor COVID expenditures associated withthe Elementaryand Secondary School Emergency Relief (ESSER) and Governor's Emergency Education Relief (GEER) programs, whicharesetto expireinthe fallof 2024.</w:t>
            </w:r>
          </w:p>
        </w:tc>
      </w:tr>
      <w:tr>
        <w:tc>
          <w:tcPr>
            <w:tcW w:type="dxa" w:w="1656"/>
          </w:tcPr>
          <w:p>
            <w:r>
              <w:t>Fiscal recovery funds</w:t>
            </w:r>
          </w:p>
        </w:tc>
        <w:tc>
          <w:tcPr>
            <w:tcW w:type="dxa" w:w="1656"/>
          </w:tcPr>
          <w:p>
            <w:r>
              <w:t>Temporary Funding</w:t>
            </w:r>
          </w:p>
        </w:tc>
        <w:tc>
          <w:tcPr>
            <w:tcW w:type="dxa" w:w="1656"/>
          </w:tcPr>
          <w:p>
            <w:r>
              <w:t>Medium</w:t>
            </w:r>
          </w:p>
        </w:tc>
        <w:tc>
          <w:tcPr>
            <w:tcW w:type="dxa" w:w="1656"/>
          </w:tcPr>
          <w:p>
            <w:r>
              <w:t>High</w:t>
            </w:r>
          </w:p>
        </w:tc>
        <w:tc>
          <w:tcPr>
            <w:tcW w:type="dxa" w:w="1656"/>
          </w:tcPr>
          <w:p>
            <w:r>
              <w:t>june-30-2025_acfr.pdf | Page 173</w:t>
            </w:r>
          </w:p>
        </w:tc>
        <w:tc>
          <w:tcPr>
            <w:tcW w:type="dxa" w:w="1656"/>
          </w:tcPr>
          <w:p>
            <w:r>
              <w:t>The American Rescue Plan Actof 2021 provided $7,291,328 fromthe Stateand Local Fiscal Recovery Funds (SLFRF) tothe Commonwealth.</w:t>
            </w:r>
          </w:p>
        </w:tc>
      </w:tr>
    </w:tbl>
    <w:p>
      <w:pPr>
        <w:pStyle w:val="Heading1"/>
      </w:pPr>
      <w:r>
        <w:t>Documents Reviewed</w:t>
      </w:r>
    </w:p>
    <w:p>
      <w:r>
        <w:t>Audited Financials / ACFR - june-30-2023-acfr.pdf - uploaded 2026-06-02T16:13:32.247524</w:t>
      </w:r>
    </w:p>
    <w:p>
      <w:r>
        <w:t>Audited Financials / ACFR - june-30-2024_acfr.pdf - uploaded 2026-06-02T16:05:28.470674</w:t>
      </w:r>
    </w:p>
    <w:p>
      <w:r>
        <w:t>Audited Financials / ACFR - june-30-2025_acfr.pdf - uploaded 2026-06-02T15:59:28.307679</w:t>
      </w:r>
    </w:p>
    <w:p>
      <w:r>
        <w:t>Audited Financials / ACFR - june-30-2021-acfr.pdf - uploaded 2026-06-02T15:59:03.502273</w:t>
      </w:r>
    </w:p>
    <w:p>
      <w:r>
        <w:t>Audited Financials / ACFR - june-30-2022-acfr.pdf - uploaded 2026-06-02T15:57:48.246351</w:t>
      </w:r>
    </w:p>
    <w:p>
      <w:r>
        <w:t>Audited Financials / ACFR - june-30-2023-acfr.pdf - uploaded 2026-06-02T15:56:23.386327</w:t>
      </w:r>
    </w:p>
    <w:p>
      <w:r>
        <w:t>Audited Financials / ACFR - june-30-2024_acfr.pdf - uploaded 2026-06-02T15:55:17.275665</w:t>
      </w:r>
    </w:p>
    <w:p>
      <w:r>
        <w:t>Audited Financials / ACFR - june-30-2025_acfr.pdf - uploaded 2026-06-02T15:54:04.454066</w:t>
      </w:r>
    </w:p>
    <w:p>
      <w:r>
        <w:t>Audited Financials / ACFR - june-30-2025_acfr.pdf - uploaded 2026-06-02T15:47:43.527155</w:t>
      </w:r>
    </w:p>
    <w:p>
      <w:r>
        <w:t>Official Statement / Offering Memorandum - preliminary_official_statement_commonwealth_2026_go-_final_posted.pdf - uploaded 2026-06-02T15:10:48.137474</w:t>
      </w:r>
    </w:p>
    <w:p>
      <w:pPr>
        <w:pStyle w:val="Heading1"/>
      </w:pPr>
      <w:r>
        <w:t>Workflow / Approval</w:t>
      </w:r>
    </w:p>
    <w:p>
      <w:r>
        <w:t>Workflow Stage: Draft</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