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Commonwealth of Pennsylvania</w:t>
      </w:r>
    </w:p>
    <w:p>
      <w:r>
        <w:t>Bond / Issue: Commonwealth of Pennsylvania — General Obligation Bonds, First Series of 2026 and First Refunding Series of 2026</w:t>
      </w:r>
    </w:p>
    <w:p>
      <w:r>
        <w:t>CUSIP: Not provided</w:t>
      </w:r>
    </w:p>
    <w:p>
      <w:r>
        <w:t>Sector: State Government</w:t>
      </w:r>
    </w:p>
    <w:p>
      <w:r>
        <w:t>Bond Type: General Obligation</w:t>
      </w:r>
    </w:p>
    <w:p>
      <w:r>
        <w:t>State: Pennsylvania</w:t>
      </w:r>
    </w:p>
    <w:p>
      <w:r>
        <w:t>Analyst: MZ Test Pen</w:t>
      </w:r>
    </w:p>
    <w:p>
      <w:r>
        <w:t>Status: Preliminary</w:t>
      </w:r>
    </w:p>
    <w:p>
      <w:r>
        <w:t>System Recommendation: Watch | Score: 68</w:t>
      </w:r>
    </w:p>
    <w:p>
      <w:r>
        <w:t>Recommendation Basis: Preliminary score or unresolved data items support monitoring before a Buy decision.</w:t>
      </w:r>
    </w:p>
    <w:p>
      <w:r>
        <w:t>Analyst Recommendation: Not finalized</w:t>
      </w:r>
    </w:p>
    <w:p>
      <w:pPr>
        <w:pStyle w:val="Heading1"/>
      </w:pPr>
      <w:r>
        <w:t>Investment Thesis</w:t>
      </w:r>
    </w:p>
    <w:p>
      <w:r>
        <w:t>Recommendation: Watch</w:t>
      </w:r>
    </w:p>
    <w:p>
      <w:r>
        <w:t xml:space="preserve">Core Thesis:  </w:t>
        <w:br/>
        <w:t>The Commonwealth of Pennsylvania’s 2026 General Obligation bond issue warrants continued monitoring rather than immediate approval based on the preliminary rule-based score of 68 and the system recommendation of Watch. The bond benefits from being a State Government General Obligation credit, and the rule-based framework shows positive contributions from financial trend strength, economic resilience, debt burden / coverage, temporary funding dependency, governance / disclosure quality, and bond structure protections. However, the review is constrained by missing annual financial trend rows, no latest reported or adjusted surplus data, and unresolved temporary or artificial funding findings. Several identified items require analyst validation, particularly the one-time American Rescue Plan Act revenue replacement transfer to the General Fund and COVID-related transportation assistance.</w:t>
      </w:r>
    </w:p>
    <w:p>
      <w:r>
        <w:t>Why This Bond May Be Attractive:</w:t>
        <w:br/>
        <w:t>- The bonds are identified as General Obligation bonds of the Commonwealth of Pennsylvania, a State Government issuer.</w:t>
        <w:br/>
        <w:t>- The rule-based review produced a total score of 68, supporting a Watch posture rather than an outright Pass.</w:t>
        <w:br/>
        <w:t>- No rule-based red flags were identified in the provided metrics.</w:t>
        <w:br/>
        <w:t>- The score components show positive contributions across multiple areas:</w:t>
        <w:br/>
        <w:t xml:space="preserve">  - Financial Trend Strength: 20</w:t>
        <w:br/>
        <w:t xml:space="preserve">  - Economic Resilience: 14</w:t>
        <w:br/>
        <w:t xml:space="preserve">  - Debt Burden / Coverage: 15</w:t>
        <w:br/>
        <w:t xml:space="preserve">  - Temporary Funding Dependency: 10</w:t>
        <w:br/>
        <w:t xml:space="preserve">  - Governance / Disclosure Quality: 4</w:t>
        <w:br/>
        <w:t xml:space="preserve">  - Bond Structure Protections: 5</w:t>
        <w:br/>
        <w:t>- The Commonwealth has a Budget Stabilization Reserve Fund described as available to manage emergencies involving health, safety, or welfare, or economic downturns resulting in significant unanticipated revenue shortfalls.</w:t>
        <w:br/>
        <w:t>- One proceeds-related finding appears to involve reimbursement for prior capital facilities project costs and costs of issuance, which was classified as Reimbursement Funding with Low risk.</w:t>
      </w:r>
    </w:p>
    <w:p>
      <w:r>
        <w:t>Why This Bond Requires Caution:</w:t>
        <w:br/>
        <w:t>- Annual financial trend rows are not available, leaving no multi-year trend analysis in the provided data.</w:t>
        <w:br/>
        <w:t>- The latest reported surplus, latest adjusted surplus, and latest temporary funding as a percentage of revenue are unavailable.</w:t>
        <w:br/>
        <w:t>- Temporary funding dependency is classified as Insufficient Data.</w:t>
        <w:br/>
        <w:t>- Analyst review is required by the rule-based framework.</w:t>
        <w:br/>
        <w:t>- Several temporary or unclear funding items were identified with Medium risk, including:</w:t>
        <w:br/>
        <w:t xml:space="preserve">  - One-time American Rescue Plan Act funds transferred to the General Fund as revenue replacement.</w:t>
        <w:br/>
        <w:t xml:space="preserve">  - Federal grants and entitlements deposited into the General Fund unless otherwise specified by law.</w:t>
        <w:br/>
        <w:t xml:space="preserve">  - COVID-19-related federal transportation assistance that significantly added to the Motor License Fund in calendar years 2021 and 2022.</w:t>
        <w:br/>
        <w:t xml:space="preserve">  - American Rescue Plan-related Homeowner Assistance Funds administered through PHFA.</w:t>
        <w:br/>
        <w:t>- The fiscal year 2022 revenue discussion indicates non-tax revenue collections increased $3,433.2 million, or 283.2%, from fiscal year 2021 to fiscal year 2022, due primarily to a one-time transfer of federal American Rescue Plan Act funds to the General Fund as revenue replacement. This may distort reported revenue growth if not separated from recurring operating revenue.</w:t>
        <w:br/>
        <w:t>- Some extracted findings appear to require validation, including an “ESSER” term hit whose finding text relates to litigation involving DHS and the Olmstead decision rather than education stabilization funding.</w:t>
      </w:r>
    </w:p>
    <w:p>
      <w:r>
        <w:t>Temporary Funding / Artificial Support Analysis:</w:t>
        <w:br/>
        <w:t>The temporary funding review identifies multiple items that may affect interpretation of the Commonwealth’s reported financial strength. The most important operating-support item is the one-time transfer of federal American Rescue Plan Act funds to the General Fund as revenue replacement, which was cited as a primary driver of the $3,433.2 million, or 283.2%, increase in non-tax revenue collections from fiscal year 2021 to fiscal year 2022. This item is classified as Unclear / Analyst Review Required and carries Medium risk and Medium confidence.</w:t>
      </w:r>
    </w:p>
    <w:p>
      <w:r>
        <w:t>The reimbursement-related item appears lower risk. A portion of First Series Bond proceeds will be deposited into the Capital Facilities Fund and used to pay costs of issuance and financial costs of capital facilities projects, including reimbursement of the State Treasury for prior payments related to capital facilities projects. This was classified as Reimbursement Funding, Low risk, Medium confidence. Based on the provided description, this appears capital-related rather than recurring operating support.</w:t>
      </w:r>
    </w:p>
    <w:p>
      <w:r>
        <w:t>Other items require separation and validation. COVID-19-related federal transportation assistance significantly added to the Motor License Fund in calendar years 2021 and 2022; this appears temporary and fund-specific. American Rescue Plan-related Homeowner Assistance Funds administered through PHFA also appear program-specific. The General Fund’s receipt of federal grants and entitlements is identified, but the provided data do not quantify the recurring versus temporary portion. The Budget Stabilization Reserve Fund is described, but no balance or draw history is provided. The “ESSER” finding appears potentially mismatched to the extracted text and should not be relied upon without document-level confirmation.</w:t>
      </w:r>
    </w:p>
    <w:p>
      <w:r>
        <w:t>Reported vs. Adjusted Credit View:</w:t>
        <w:br/>
        <w:t>A fully adjusted credit view cannot be completed from the provided data because there are no annual financial trend rows, no latest reported surplus, no latest adjusted surplus, and no quantified temporary funding dependency as a percentage of revenue. Qualitatively, separating temporary federal support would likely reduce confidence in reported fiscal year 2022 revenue growth, particularly the non-tax revenue increase driven primarily by one-time American Rescue Plan Act revenue replacement. The capital reimbursement item should be treated separately from operating support and does not appear, based on the provided description, to inflate recurring General Fund operating performance. Until temporary and recurring revenues are separated, the reported financial view may overstate underlying recurring strength.</w:t>
      </w:r>
    </w:p>
    <w:p>
      <w:r>
        <w:t>Key Follow-Up Before Final Approval:</w:t>
        <w:br/>
        <w:t>- Obtain annual financial trend data for the Commonwealth, including reported surplus / deficit and adjusted surplus / deficit.</w:t>
        <w:br/>
        <w:t>- Quantify temporary funding as a percentage of operating revenue.</w:t>
        <w:br/>
        <w:t>- Confirm the amount and accounting treatment of the one-time American Rescue Plan Act transfer to the General Fund as revenue replacement.</w:t>
        <w:br/>
        <w:t>- Determine whether fiscal year 2022 non-tax revenue growth remains materially positive after excluding one-time ARPA revenue replacement.</w:t>
        <w:br/>
        <w:t>- Separate recurring federal grants and entitlements from temporary pandemic-related or one-time federal support.</w:t>
        <w:br/>
        <w:t>- Validate the COVID-19 transportation assistance impact on the Motor License Fund and determine whether it affects GO credit analysis.</w:t>
        <w:br/>
        <w:t>- Confirm the current balance, use restrictions, and recent activity of the Budget Stabilization Reserve Fund.</w:t>
        <w:br/>
        <w:t>- Review the “ESSER” flagged item manually, as the extracted finding does not appear to support the term classification.</w:t>
        <w:br/>
        <w:t>- Confirm whether any other temporary or artificial support items materially affect General Fund operating results.</w:t>
        <w:br/>
        <w:t>- Complete senior analyst review before moving beyond Watch.</w:t>
      </w:r>
    </w:p>
    <w:p>
      <w:r>
        <w:t>Final Analyst Note:</w:t>
        <w:br/>
        <w:t>Maintain Watch pending completion of financial trend analysis and temporary funding adjustments. The GO structure and state government issuer profile are supportive, but the current record lacks sufficient recurring-versus-one-time revenue detail to support a final investment decision.</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20</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10</w:t>
            </w:r>
          </w:p>
        </w:tc>
      </w:tr>
      <w:tr>
        <w:tc>
          <w:tcPr>
            <w:tcW w:type="dxa" w:w="4968"/>
          </w:tcPr>
          <w:p>
            <w:r>
              <w:t>Governance / Disclosure Quality</w:t>
            </w:r>
          </w:p>
        </w:tc>
        <w:tc>
          <w:tcPr>
            <w:tcW w:type="dxa" w:w="4968"/>
          </w:tcPr>
          <w:p>
            <w:r>
              <w:t>4</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Revenue replacement</w:t>
            </w:r>
          </w:p>
        </w:tc>
        <w:tc>
          <w:tcPr>
            <w:tcW w:type="dxa" w:w="1656"/>
          </w:tcPr>
          <w:p>
            <w:r>
              <w:t>Unclear / Analyst Review Required</w:t>
            </w:r>
          </w:p>
        </w:tc>
        <w:tc>
          <w:tcPr>
            <w:tcW w:type="dxa" w:w="1656"/>
          </w:tcPr>
          <w:p>
            <w:r>
              <w:t>Medium</w:t>
            </w:r>
          </w:p>
        </w:tc>
        <w:tc>
          <w:tcPr>
            <w:tcW w:type="dxa" w:w="1656"/>
          </w:tcPr>
          <w:p>
            <w:r>
              <w:t>Medium</w:t>
            </w:r>
          </w:p>
        </w:tc>
        <w:tc>
          <w:tcPr>
            <w:tcW w:type="dxa" w:w="1656"/>
          </w:tcPr>
          <w:p>
            <w:r>
              <w:t>preliminary_official_statement_commonwealth_2026_go-_final_posted.pdf | Page 53</w:t>
            </w:r>
          </w:p>
        </w:tc>
        <w:tc>
          <w:tcPr>
            <w:tcW w:type="dxa" w:w="1656"/>
          </w:tcPr>
          <w:p>
            <w:r>
              <w:t>Tax revenue collections increased $4,309.0 millionor 11.0 percentona year-over-year basis from fiscal year 2021 to fiscal year 2022 whilenon- tax revenue collections increased $3,433.2 millionor 283.2 percent from fiscal year 2021 to fiscal year 2022, due primarilytotheone -time transferof federal A merican Rescue Plan Act fundstothe General Fundas revenue replacement.</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preliminary_official_statement_commonwealth_2026_go-_final_posted.pdf | Page 18</w:t>
            </w:r>
          </w:p>
        </w:tc>
        <w:tc>
          <w:tcPr>
            <w:tcW w:type="dxa" w:w="1656"/>
          </w:tcPr>
          <w:p>
            <w:r>
              <w:t>The Commonwealth alsohasa Budget Stabilization Reserve Fund, whichis usedto manage around emergencies involvingthe health, safetyor welfareofthe residentsofthe Commonwealthor downturnsinthe economy resultingin significant unanticipated revenue shortfalls.</w:t>
            </w:r>
          </w:p>
        </w:tc>
      </w:tr>
      <w:tr>
        <w:tc>
          <w:tcPr>
            <w:tcW w:type="dxa" w:w="1656"/>
          </w:tcPr>
          <w:p>
            <w:r>
              <w:t>Reimbursement</w:t>
            </w:r>
          </w:p>
        </w:tc>
        <w:tc>
          <w:tcPr>
            <w:tcW w:type="dxa" w:w="1656"/>
          </w:tcPr>
          <w:p>
            <w:r>
              <w:t>Reimbursement Funding</w:t>
            </w:r>
          </w:p>
        </w:tc>
        <w:tc>
          <w:tcPr>
            <w:tcW w:type="dxa" w:w="1656"/>
          </w:tcPr>
          <w:p>
            <w:r>
              <w:t>Low</w:t>
            </w:r>
          </w:p>
        </w:tc>
        <w:tc>
          <w:tcPr>
            <w:tcW w:type="dxa" w:w="1656"/>
          </w:tcPr>
          <w:p>
            <w:r>
              <w:t>Medium</w:t>
            </w:r>
          </w:p>
        </w:tc>
        <w:tc>
          <w:tcPr>
            <w:tcW w:type="dxa" w:w="1656"/>
          </w:tcPr>
          <w:p>
            <w:r>
              <w:t>preliminary_official_statement_commonwealth_2026_go-_final_posted.pdf | Page 11</w:t>
            </w:r>
          </w:p>
        </w:tc>
        <w:tc>
          <w:tcPr>
            <w:tcW w:type="dxa" w:w="1656"/>
          </w:tcPr>
          <w:p>
            <w:r>
              <w:t>Capital Facilities Projects A portionofthe proceedsofthe First Series Bonds willbe deposited intothe Capital Facilities Fundand applied: (a) topaya portionofthe costsof issuanceofthe First Series Bondsand (b) topaythe financial costsof various capital facilities projectsofthe Commonwealth, including reimbursementofthe State Treasuryfor previous payments madefor costs incurred relatingto various capital facilities projects.</w:t>
            </w:r>
          </w:p>
        </w:tc>
      </w:tr>
      <w:tr>
        <w:tc>
          <w:tcPr>
            <w:tcW w:type="dxa" w:w="1656"/>
          </w:tcPr>
          <w:p>
            <w:r>
              <w:t>Rescue plan</w:t>
            </w:r>
          </w:p>
        </w:tc>
        <w:tc>
          <w:tcPr>
            <w:tcW w:type="dxa" w:w="1656"/>
          </w:tcPr>
          <w:p>
            <w:r>
              <w:t>Unclear / Analyst Review Required</w:t>
            </w:r>
          </w:p>
        </w:tc>
        <w:tc>
          <w:tcPr>
            <w:tcW w:type="dxa" w:w="1656"/>
          </w:tcPr>
          <w:p>
            <w:r>
              <w:t>Medium</w:t>
            </w:r>
          </w:p>
        </w:tc>
        <w:tc>
          <w:tcPr>
            <w:tcW w:type="dxa" w:w="1656"/>
          </w:tcPr>
          <w:p>
            <w:r>
              <w:t>Medium</w:t>
            </w:r>
          </w:p>
        </w:tc>
        <w:tc>
          <w:tcPr>
            <w:tcW w:type="dxa" w:w="1656"/>
          </w:tcPr>
          <w:p>
            <w:r>
              <w:t>preliminary_official_statement_commonwealth_2026_go-_final_posted.pdf | Page 53</w:t>
            </w:r>
          </w:p>
        </w:tc>
        <w:tc>
          <w:tcPr>
            <w:tcW w:type="dxa" w:w="1656"/>
          </w:tcPr>
          <w:p>
            <w:r>
              <w:t>Tax revenue collections increased $4,309.0 millionor 11.0 percentona year-over-year basis from fiscal year 2021 to fiscal year 2022 whilenon- tax revenue collections increased $3,433.2 millionor 283.2 percent from fiscal year 2021 to fiscal year 2022, due primarilytotheone -time transferof federal A merican Rescue Plan Act fundstothe General Fundas revenue replacement.</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preliminary_official_statement_commonwealth_2026_go-_final_posted.pdf | Page 44</w:t>
            </w:r>
          </w:p>
        </w:tc>
        <w:tc>
          <w:tcPr>
            <w:tcW w:type="dxa" w:w="1656"/>
          </w:tcPr>
          <w:p>
            <w:r>
              <w:t>The General Fund, the Commonwealth ’s largest operating fund, receivesalltax revenues, non -tax revenuesand federal grantsand entitlements thatarenot specifiedbylawtobe deposited elsewhere.</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preliminary_official_statement_commonwealth_2026_go-_final_posted.pdf | Page 103</w:t>
            </w:r>
          </w:p>
        </w:tc>
        <w:tc>
          <w:tcPr>
            <w:tcW w:type="dxa" w:w="1656"/>
          </w:tcPr>
          <w:p>
            <w:r>
              <w:t>Plaintiffs allege that DHShas violated their constitutional rights underthe Olmstead decision because DHShasnot discharged them intothe community even though they meetthe criteriafor placementina lesser restrictive setting.</w:t>
            </w:r>
          </w:p>
        </w:tc>
      </w:tr>
      <w:tr>
        <w:tc>
          <w:tcPr>
            <w:tcW w:type="dxa" w:w="1656"/>
          </w:tcPr>
          <w:p>
            <w:r>
              <w:t>American Rescue Plan</w:t>
            </w:r>
          </w:p>
        </w:tc>
        <w:tc>
          <w:tcPr>
            <w:tcW w:type="dxa" w:w="1656"/>
          </w:tcPr>
          <w:p>
            <w:r>
              <w:t>Temporary Funding</w:t>
            </w:r>
          </w:p>
        </w:tc>
        <w:tc>
          <w:tcPr>
            <w:tcW w:type="dxa" w:w="1656"/>
          </w:tcPr>
          <w:p>
            <w:r>
              <w:t>Medium</w:t>
            </w:r>
          </w:p>
        </w:tc>
        <w:tc>
          <w:tcPr>
            <w:tcW w:type="dxa" w:w="1656"/>
          </w:tcPr>
          <w:p>
            <w:r>
              <w:t>High</w:t>
            </w:r>
          </w:p>
        </w:tc>
        <w:tc>
          <w:tcPr>
            <w:tcW w:type="dxa" w:w="1656"/>
          </w:tcPr>
          <w:p>
            <w:r>
              <w:t>preliminary_official_statement_commonwealth_2026_go-_final_posted.pdf | Page 117</w:t>
            </w:r>
          </w:p>
        </w:tc>
        <w:tc>
          <w:tcPr>
            <w:tcW w:type="dxa" w:w="1656"/>
          </w:tcPr>
          <w:p>
            <w:r>
              <w:t>Act 24 of 2021 was enactedon June 30, 2021, identifyingthe PHFAasthe Commonwealth’s administratorfor federal Homeowner Assistance Funds made available throughthe American Rescue Plan.</w:t>
            </w:r>
          </w:p>
        </w:tc>
      </w:tr>
      <w:tr>
        <w:tc>
          <w:tcPr>
            <w:tcW w:type="dxa" w:w="1656"/>
          </w:tcPr>
          <w:p>
            <w:r>
              <w:t>COVID</w:t>
            </w:r>
          </w:p>
        </w:tc>
        <w:tc>
          <w:tcPr>
            <w:tcW w:type="dxa" w:w="1656"/>
          </w:tcPr>
          <w:p>
            <w:r>
              <w:t>Temporary Funding</w:t>
            </w:r>
          </w:p>
        </w:tc>
        <w:tc>
          <w:tcPr>
            <w:tcW w:type="dxa" w:w="1656"/>
          </w:tcPr>
          <w:p>
            <w:r>
              <w:t>Medium</w:t>
            </w:r>
          </w:p>
        </w:tc>
        <w:tc>
          <w:tcPr>
            <w:tcW w:type="dxa" w:w="1656"/>
          </w:tcPr>
          <w:p>
            <w:r>
              <w:t>High</w:t>
            </w:r>
          </w:p>
        </w:tc>
        <w:tc>
          <w:tcPr>
            <w:tcW w:type="dxa" w:w="1656"/>
          </w:tcPr>
          <w:p>
            <w:r>
              <w:t>preliminary_official_statement_commonwealth_2026_go-_final_posted.pdf | Page 74</w:t>
            </w:r>
          </w:p>
        </w:tc>
        <w:tc>
          <w:tcPr>
            <w:tcW w:type="dxa" w:w="1656"/>
          </w:tcPr>
          <w:p>
            <w:r>
              <w:t>Temporary federal financial assistancefor transportation under various COVID-19-related programs added significantlytothe Motor License Fundin calendar years 2021 and 2022.</w:t>
            </w:r>
          </w:p>
        </w:tc>
      </w:tr>
    </w:tbl>
    <w:p>
      <w:pPr>
        <w:pStyle w:val="Heading1"/>
      </w:pPr>
      <w:r>
        <w:t>Documents Reviewed</w:t>
      </w:r>
    </w:p>
    <w:p>
      <w:r>
        <w:t>Official Statement / Offering Memorandum - preliminary_official_statement_commonwealth_2026_go-_final_posted.pdf - uploaded 2026-06-02T15:10:48.137474</w:t>
      </w:r>
    </w:p>
    <w:p>
      <w:pPr>
        <w:pStyle w:val="Heading1"/>
      </w:pPr>
      <w:r>
        <w:t>Workflow / Approval</w:t>
      </w:r>
    </w:p>
    <w:p>
      <w:r>
        <w:t>Workflow Stage: Draft</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