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MuniMetrics Credit Analysis Report</w:t>
      </w:r>
    </w:p>
    <w:p>
      <w:r>
        <w:t>Issuer: Commonwealth of Pennsylvania</w:t>
      </w:r>
    </w:p>
    <w:p>
      <w:r>
        <w:t>Bond / Issue: Commonwealth of Pennsylvania — General Obligation Bonds, First Series of 2026 and First Refunding Series of 2026</w:t>
      </w:r>
    </w:p>
    <w:p>
      <w:r>
        <w:t>CUSIP: Not provided</w:t>
      </w:r>
    </w:p>
    <w:p>
      <w:r>
        <w:t>Sector: State Government</w:t>
      </w:r>
    </w:p>
    <w:p>
      <w:r>
        <w:t>Bond Type: General Obligation</w:t>
      </w:r>
    </w:p>
    <w:p>
      <w:r>
        <w:t>State: Pennsylvania</w:t>
      </w:r>
    </w:p>
    <w:p>
      <w:r>
        <w:t>Analyst: MZ Test Pen</w:t>
      </w:r>
    </w:p>
    <w:p>
      <w:r>
        <w:t>Status: Preliminary</w:t>
      </w:r>
    </w:p>
    <w:p>
      <w:r>
        <w:t>System Recommendation: Watch | Score: 68</w:t>
      </w:r>
    </w:p>
    <w:p>
      <w:r>
        <w:t>Recommendation Basis: Preliminary score or unresolved data items support monitoring before a Buy decision.</w:t>
      </w:r>
    </w:p>
    <w:p>
      <w:r>
        <w:t>Analyst Recommendation: Not finalized</w:t>
      </w:r>
    </w:p>
    <w:p>
      <w:pPr>
        <w:pStyle w:val="Heading1"/>
      </w:pPr>
      <w:r>
        <w:t>Investment Thesis</w:t>
      </w:r>
    </w:p>
    <w:p>
      <w:r>
        <w:t>Recommendation: Watch</w:t>
      </w:r>
    </w:p>
    <w:p>
      <w:r>
        <w:t>Core Thesis: This preliminary credit view evaluates the specific bond through the issuer's recurring financial capacity, temporary funding dependency, and available bond-structure information.</w:t>
      </w:r>
    </w:p>
    <w:p>
      <w:r>
        <w:t>Data Limitation: Fewer than three years of financial trend data have been entered. The output should remain preliminary until additional source data is reviewed.</w:t>
      </w:r>
    </w:p>
    <w:p>
      <w:r>
        <w:t>Temporary Funding View: Funding dependency is currently classified as Insufficient Data based on entered trend data and detected document findings.</w:t>
      </w:r>
    </w:p>
    <w:p>
      <w:r>
        <w:t>Recommendation Basis: Preliminary score or unresolved data items support monitoring before a Buy decision.</w:t>
      </w:r>
    </w:p>
    <w:p>
      <w:r>
        <w:t>Key Risk Flags: No automatic severe risk flags were triggered by the current data set.</w:t>
      </w:r>
    </w:p>
    <w:p>
      <w:r>
        <w:t>Source Review: 8 temporary/artificial funding references or analyst-review items have been identified from uploaded documents.</w:t>
      </w:r>
    </w:p>
    <w:p>
      <w:r>
        <w:t>Analyst Conclusion: Senior analyst review is required before this output is treated as a final investment thesis.</w:t>
      </w:r>
    </w:p>
    <w:p>
      <w:pPr>
        <w:pStyle w:val="Heading1"/>
      </w:pPr>
      <w:r>
        <w:t>Score Components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</w:tcPr>
          <w:p>
            <w:r>
              <w:t>Category</w:t>
            </w:r>
          </w:p>
        </w:tc>
        <w:tc>
          <w:tcPr>
            <w:tcW w:type="dxa" w:w="4968"/>
          </w:tcPr>
          <w:p>
            <w:r>
              <w:t>Score</w:t>
            </w:r>
          </w:p>
        </w:tc>
      </w:tr>
      <w:tr>
        <w:tc>
          <w:tcPr>
            <w:tcW w:type="dxa" w:w="4968"/>
          </w:tcPr>
          <w:p>
            <w:r>
              <w:t>Financial Trend Strength</w:t>
            </w:r>
          </w:p>
        </w:tc>
        <w:tc>
          <w:tcPr>
            <w:tcW w:type="dxa" w:w="4968"/>
          </w:tcPr>
          <w:p>
            <w:r>
              <w:t>20</w:t>
            </w:r>
          </w:p>
        </w:tc>
      </w:tr>
      <w:tr>
        <w:tc>
          <w:tcPr>
            <w:tcW w:type="dxa" w:w="4968"/>
          </w:tcPr>
          <w:p>
            <w:r>
              <w:t>Economic Resilience</w:t>
            </w:r>
          </w:p>
        </w:tc>
        <w:tc>
          <w:tcPr>
            <w:tcW w:type="dxa" w:w="4968"/>
          </w:tcPr>
          <w:p>
            <w:r>
              <w:t>14</w:t>
            </w:r>
          </w:p>
        </w:tc>
      </w:tr>
      <w:tr>
        <w:tc>
          <w:tcPr>
            <w:tcW w:type="dxa" w:w="4968"/>
          </w:tcPr>
          <w:p>
            <w:r>
              <w:t>Debt Burden / Coverage</w:t>
            </w:r>
          </w:p>
        </w:tc>
        <w:tc>
          <w:tcPr>
            <w:tcW w:type="dxa" w:w="4968"/>
          </w:tcPr>
          <w:p>
            <w:r>
              <w:t>15</w:t>
            </w:r>
          </w:p>
        </w:tc>
      </w:tr>
      <w:tr>
        <w:tc>
          <w:tcPr>
            <w:tcW w:type="dxa" w:w="4968"/>
          </w:tcPr>
          <w:p>
            <w:r>
              <w:t>Temporary Funding Dependency</w:t>
            </w:r>
          </w:p>
        </w:tc>
        <w:tc>
          <w:tcPr>
            <w:tcW w:type="dxa" w:w="4968"/>
          </w:tcPr>
          <w:p>
            <w:r>
              <w:t>10</w:t>
            </w:r>
          </w:p>
        </w:tc>
      </w:tr>
      <w:tr>
        <w:tc>
          <w:tcPr>
            <w:tcW w:type="dxa" w:w="4968"/>
          </w:tcPr>
          <w:p>
            <w:r>
              <w:t>Governance / Disclosure Quality</w:t>
            </w:r>
          </w:p>
        </w:tc>
        <w:tc>
          <w:tcPr>
            <w:tcW w:type="dxa" w:w="4968"/>
          </w:tcPr>
          <w:p>
            <w:r>
              <w:t>4</w:t>
            </w:r>
          </w:p>
        </w:tc>
      </w:tr>
      <w:tr>
        <w:tc>
          <w:tcPr>
            <w:tcW w:type="dxa" w:w="4968"/>
          </w:tcPr>
          <w:p>
            <w:r>
              <w:t>Bond Structure Protections</w:t>
            </w:r>
          </w:p>
        </w:tc>
        <w:tc>
          <w:tcPr>
            <w:tcW w:type="dxa" w:w="4968"/>
          </w:tcPr>
          <w:p>
            <w:r>
              <w:t>5</w:t>
            </w:r>
          </w:p>
        </w:tc>
      </w:tr>
    </w:tbl>
    <w:p>
      <w:pPr>
        <w:pStyle w:val="Heading1"/>
      </w:pPr>
      <w:r>
        <w:t>Annual Financial Trend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</w:tblGrid>
      <w:tr>
        <w:tc>
          <w:tcPr>
            <w:tcW w:type="dxa" w:w="1104"/>
          </w:tcPr>
          <w:p>
            <w:r>
              <w:t>Fiscal Year</w:t>
            </w:r>
          </w:p>
        </w:tc>
        <w:tc>
          <w:tcPr>
            <w:tcW w:type="dxa" w:w="1104"/>
          </w:tcPr>
          <w:p>
            <w:r>
              <w:t>Total Revenue</w:t>
            </w:r>
          </w:p>
        </w:tc>
        <w:tc>
          <w:tcPr>
            <w:tcW w:type="dxa" w:w="1104"/>
          </w:tcPr>
          <w:p>
            <w:r>
              <w:t>Recurring Revenue</w:t>
            </w:r>
          </w:p>
        </w:tc>
        <w:tc>
          <w:tcPr>
            <w:tcW w:type="dxa" w:w="1104"/>
          </w:tcPr>
          <w:p>
            <w:r>
              <w:t>Temporary Funding</w:t>
            </w:r>
          </w:p>
        </w:tc>
        <w:tc>
          <w:tcPr>
            <w:tcW w:type="dxa" w:w="1104"/>
          </w:tcPr>
          <w:p>
            <w:r>
              <w:t>Expenses</w:t>
            </w:r>
          </w:p>
        </w:tc>
        <w:tc>
          <w:tcPr>
            <w:tcW w:type="dxa" w:w="1104"/>
          </w:tcPr>
          <w:p>
            <w:r>
              <w:t>Debt Service</w:t>
            </w:r>
          </w:p>
        </w:tc>
        <w:tc>
          <w:tcPr>
            <w:tcW w:type="dxa" w:w="1104"/>
          </w:tcPr>
          <w:p>
            <w:r>
              <w:t>Fund Balance</w:t>
            </w:r>
          </w:p>
        </w:tc>
        <w:tc>
          <w:tcPr>
            <w:tcW w:type="dxa" w:w="1104"/>
          </w:tcPr>
          <w:p>
            <w:r>
              <w:t>Unrestricted Reserves</w:t>
            </w:r>
          </w:p>
        </w:tc>
        <w:tc>
          <w:tcPr>
            <w:tcW w:type="dxa" w:w="1104"/>
          </w:tcPr>
          <w:p>
            <w:r>
              <w:t>Notes</w:t>
            </w:r>
          </w:p>
        </w:tc>
      </w:tr>
    </w:tbl>
    <w:p>
      <w:pPr>
        <w:pStyle w:val="Heading1"/>
      </w:pPr>
      <w:r>
        <w:t>Temporary Funding / Artificial Support Findings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56"/>
        <w:gridCol w:w="1656"/>
        <w:gridCol w:w="1656"/>
        <w:gridCol w:w="1656"/>
        <w:gridCol w:w="1656"/>
        <w:gridCol w:w="1656"/>
      </w:tblGrid>
      <w:tr>
        <w:tc>
          <w:tcPr>
            <w:tcW w:type="dxa" w:w="1656"/>
          </w:tcPr>
          <w:p>
            <w:r>
              <w:t>Term</w:t>
            </w:r>
          </w:p>
        </w:tc>
        <w:tc>
          <w:tcPr>
            <w:tcW w:type="dxa" w:w="1656"/>
          </w:tcPr>
          <w:p>
            <w:r>
              <w:t>Classification</w:t>
            </w:r>
          </w:p>
        </w:tc>
        <w:tc>
          <w:tcPr>
            <w:tcW w:type="dxa" w:w="1656"/>
          </w:tcPr>
          <w:p>
            <w:r>
              <w:t>Risk</w:t>
            </w:r>
          </w:p>
        </w:tc>
        <w:tc>
          <w:tcPr>
            <w:tcW w:type="dxa" w:w="1656"/>
          </w:tcPr>
          <w:p>
            <w:r>
              <w:t>Confidence</w:t>
            </w:r>
          </w:p>
        </w:tc>
        <w:tc>
          <w:tcPr>
            <w:tcW w:type="dxa" w:w="1656"/>
          </w:tcPr>
          <w:p>
            <w:r>
              <w:t>Source</w:t>
            </w:r>
          </w:p>
        </w:tc>
        <w:tc>
          <w:tcPr>
            <w:tcW w:type="dxa" w:w="1656"/>
          </w:tcPr>
          <w:p>
            <w:r>
              <w:t>Finding</w:t>
            </w:r>
          </w:p>
        </w:tc>
      </w:tr>
      <w:tr>
        <w:tc>
          <w:tcPr>
            <w:tcW w:type="dxa" w:w="1656"/>
          </w:tcPr>
          <w:p>
            <w:r>
              <w:t>Revenue replacement</w:t>
            </w:r>
          </w:p>
        </w:tc>
        <w:tc>
          <w:tcPr>
            <w:tcW w:type="dxa" w:w="1656"/>
          </w:tcPr>
          <w:p>
            <w:r>
              <w:t>Unclear / Analyst Review Required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preliminary_official_statement_commonwealth_2026_go-_final_posted.pdf | Page 53</w:t>
            </w:r>
          </w:p>
        </w:tc>
        <w:tc>
          <w:tcPr>
            <w:tcW w:type="dxa" w:w="1656"/>
          </w:tcPr>
          <w:p>
            <w:r>
              <w:t>Tax revenue collections increased $4,309.0 millionor 11.0 percentona year-over-year basis from fiscal year 2021 to fiscal year 2022 whilenon- tax revenue collections increased $3,433.2 millionor 283.2 percent from fiscal year 2021 to fiscal year 2022, due primarilytotheone -time transferof federal A merican Rescue Plan Act fundstothe General Fundas revenue replacement.</w:t>
            </w:r>
          </w:p>
        </w:tc>
      </w:tr>
      <w:tr>
        <w:tc>
          <w:tcPr>
            <w:tcW w:type="dxa" w:w="1656"/>
          </w:tcPr>
          <w:p>
            <w:r>
              <w:t>Budget stabilization</w:t>
            </w:r>
          </w:p>
        </w:tc>
        <w:tc>
          <w:tcPr>
            <w:tcW w:type="dxa" w:w="1656"/>
          </w:tcPr>
          <w:p>
            <w:r>
              <w:t>Unclear / Analyst Review Required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preliminary_official_statement_commonwealth_2026_go-_final_posted.pdf | Page 18</w:t>
            </w:r>
          </w:p>
        </w:tc>
        <w:tc>
          <w:tcPr>
            <w:tcW w:type="dxa" w:w="1656"/>
          </w:tcPr>
          <w:p>
            <w:r>
              <w:t>The Commonwealth alsohasa Budget Stabilization Reserve Fund, whichis usedto manage around emergencies involvingthe health, safetyor welfareofthe residentsofthe Commonwealthor downturnsinthe economy resultingin significant unanticipated revenue shortfalls.</w:t>
            </w:r>
          </w:p>
        </w:tc>
      </w:tr>
      <w:tr>
        <w:tc>
          <w:tcPr>
            <w:tcW w:type="dxa" w:w="1656"/>
          </w:tcPr>
          <w:p>
            <w:r>
              <w:t>Reimbursement</w:t>
            </w:r>
          </w:p>
        </w:tc>
        <w:tc>
          <w:tcPr>
            <w:tcW w:type="dxa" w:w="1656"/>
          </w:tcPr>
          <w:p>
            <w:r>
              <w:t>Reimbursement Funding</w:t>
            </w:r>
          </w:p>
        </w:tc>
        <w:tc>
          <w:tcPr>
            <w:tcW w:type="dxa" w:w="1656"/>
          </w:tcPr>
          <w:p>
            <w:r>
              <w:t>Low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preliminary_official_statement_commonwealth_2026_go-_final_posted.pdf | Page 11</w:t>
            </w:r>
          </w:p>
        </w:tc>
        <w:tc>
          <w:tcPr>
            <w:tcW w:type="dxa" w:w="1656"/>
          </w:tcPr>
          <w:p>
            <w:r>
              <w:t>Capital Facilities Projects A portionofthe proceedsofthe First Series Bonds willbe deposited intothe Capital Facilities Fundand applied: (a) topaya portionofthe costsof issuanceofthe First Series Bondsand (b) topaythe financial costsof various capital facilities projectsofthe Commonwealth, including reimbursementofthe State Treasuryfor previous payments madefor costs incurred relatingto various capital facilities projects.</w:t>
            </w:r>
          </w:p>
        </w:tc>
      </w:tr>
      <w:tr>
        <w:tc>
          <w:tcPr>
            <w:tcW w:type="dxa" w:w="1656"/>
          </w:tcPr>
          <w:p>
            <w:r>
              <w:t>Rescue plan</w:t>
            </w:r>
          </w:p>
        </w:tc>
        <w:tc>
          <w:tcPr>
            <w:tcW w:type="dxa" w:w="1656"/>
          </w:tcPr>
          <w:p>
            <w:r>
              <w:t>Unclear / Analyst Review Required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preliminary_official_statement_commonwealth_2026_go-_final_posted.pdf | Page 53</w:t>
            </w:r>
          </w:p>
        </w:tc>
        <w:tc>
          <w:tcPr>
            <w:tcW w:type="dxa" w:w="1656"/>
          </w:tcPr>
          <w:p>
            <w:r>
              <w:t>Tax revenue collections increased $4,309.0 millionor 11.0 percentona year-over-year basis from fiscal year 2021 to fiscal year 2022 whilenon- tax revenue collections increased $3,433.2 millionor 283.2 percent from fiscal year 2021 to fiscal year 2022, due primarilytotheone -time transferof federal A merican Rescue Plan Act fundstothe General Fundas revenue replacement.</w:t>
            </w:r>
          </w:p>
        </w:tc>
      </w:tr>
      <w:tr>
        <w:tc>
          <w:tcPr>
            <w:tcW w:type="dxa" w:w="1656"/>
          </w:tcPr>
          <w:p>
            <w:r>
              <w:t>Federal grant</w:t>
            </w:r>
          </w:p>
        </w:tc>
        <w:tc>
          <w:tcPr>
            <w:tcW w:type="dxa" w:w="1656"/>
          </w:tcPr>
          <w:p>
            <w:r>
              <w:t>Unclear / Analyst Review Required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preliminary_official_statement_commonwealth_2026_go-_final_posted.pdf | Page 44</w:t>
            </w:r>
          </w:p>
        </w:tc>
        <w:tc>
          <w:tcPr>
            <w:tcW w:type="dxa" w:w="1656"/>
          </w:tcPr>
          <w:p>
            <w:r>
              <w:t>The General Fund, the Commonwealth ’s largest operating fund, receivesalltax revenues, non -tax revenuesand federal grantsand entitlements thatarenot specifiedbylawtobe deposited elsewhere.</w:t>
            </w:r>
          </w:p>
        </w:tc>
      </w:tr>
      <w:tr>
        <w:tc>
          <w:tcPr>
            <w:tcW w:type="dxa" w:w="1656"/>
          </w:tcPr>
          <w:p>
            <w:r>
              <w:t>ESSER</w:t>
            </w:r>
          </w:p>
        </w:tc>
        <w:tc>
          <w:tcPr>
            <w:tcW w:type="dxa" w:w="1656"/>
          </w:tcPr>
          <w:p>
            <w:r>
              <w:t>Temporary Funding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High</w:t>
            </w:r>
          </w:p>
        </w:tc>
        <w:tc>
          <w:tcPr>
            <w:tcW w:type="dxa" w:w="1656"/>
          </w:tcPr>
          <w:p>
            <w:r>
              <w:t>preliminary_official_statement_commonwealth_2026_go-_final_posted.pdf | Page 103</w:t>
            </w:r>
          </w:p>
        </w:tc>
        <w:tc>
          <w:tcPr>
            <w:tcW w:type="dxa" w:w="1656"/>
          </w:tcPr>
          <w:p>
            <w:r>
              <w:t>Plaintiffs allege that DHShas violated their constitutional rights underthe Olmstead decision because DHShasnot discharged them intothe community even though they meetthe criteriafor placementina lesser restrictive setting.</w:t>
            </w:r>
          </w:p>
        </w:tc>
      </w:tr>
      <w:tr>
        <w:tc>
          <w:tcPr>
            <w:tcW w:type="dxa" w:w="1656"/>
          </w:tcPr>
          <w:p>
            <w:r>
              <w:t>American Rescue Plan</w:t>
            </w:r>
          </w:p>
        </w:tc>
        <w:tc>
          <w:tcPr>
            <w:tcW w:type="dxa" w:w="1656"/>
          </w:tcPr>
          <w:p>
            <w:r>
              <w:t>Temporary Funding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High</w:t>
            </w:r>
          </w:p>
        </w:tc>
        <w:tc>
          <w:tcPr>
            <w:tcW w:type="dxa" w:w="1656"/>
          </w:tcPr>
          <w:p>
            <w:r>
              <w:t>preliminary_official_statement_commonwealth_2026_go-_final_posted.pdf | Page 117</w:t>
            </w:r>
          </w:p>
        </w:tc>
        <w:tc>
          <w:tcPr>
            <w:tcW w:type="dxa" w:w="1656"/>
          </w:tcPr>
          <w:p>
            <w:r>
              <w:t>Act 24 of 2021 was enactedon June 30, 2021, identifyingthe PHFAasthe Commonwealth’s administratorfor federal Homeowner Assistance Funds made available throughthe American Rescue Plan.</w:t>
            </w:r>
          </w:p>
        </w:tc>
      </w:tr>
      <w:tr>
        <w:tc>
          <w:tcPr>
            <w:tcW w:type="dxa" w:w="1656"/>
          </w:tcPr>
          <w:p>
            <w:r>
              <w:t>COVID</w:t>
            </w:r>
          </w:p>
        </w:tc>
        <w:tc>
          <w:tcPr>
            <w:tcW w:type="dxa" w:w="1656"/>
          </w:tcPr>
          <w:p>
            <w:r>
              <w:t>Temporary Funding</w:t>
            </w:r>
          </w:p>
        </w:tc>
        <w:tc>
          <w:tcPr>
            <w:tcW w:type="dxa" w:w="1656"/>
          </w:tcPr>
          <w:p>
            <w:r>
              <w:t>Medium</w:t>
            </w:r>
          </w:p>
        </w:tc>
        <w:tc>
          <w:tcPr>
            <w:tcW w:type="dxa" w:w="1656"/>
          </w:tcPr>
          <w:p>
            <w:r>
              <w:t>High</w:t>
            </w:r>
          </w:p>
        </w:tc>
        <w:tc>
          <w:tcPr>
            <w:tcW w:type="dxa" w:w="1656"/>
          </w:tcPr>
          <w:p>
            <w:r>
              <w:t>preliminary_official_statement_commonwealth_2026_go-_final_posted.pdf | Page 74</w:t>
            </w:r>
          </w:p>
        </w:tc>
        <w:tc>
          <w:tcPr>
            <w:tcW w:type="dxa" w:w="1656"/>
          </w:tcPr>
          <w:p>
            <w:r>
              <w:t>Temporary federal financial assistancefor transportation under various COVID-19-related programs added significantlytothe Motor License Fundin calendar years 2021 and 2022.</w:t>
            </w:r>
          </w:p>
        </w:tc>
      </w:tr>
    </w:tbl>
    <w:p>
      <w:pPr>
        <w:pStyle w:val="Heading1"/>
      </w:pPr>
      <w:r>
        <w:t>Documents Reviewed</w:t>
      </w:r>
    </w:p>
    <w:p>
      <w:r>
        <w:t>Official Statement / Offering Memorandum - preliminary_official_statement_commonwealth_2026_go-_final_posted.pdf - uploaded 2026-06-02T15:10:48.137474</w:t>
      </w:r>
    </w:p>
    <w:p>
      <w:pPr>
        <w:pStyle w:val="Heading1"/>
      </w:pPr>
      <w:r>
        <w:t>Workflow / Approval</w:t>
      </w:r>
    </w:p>
    <w:p>
      <w:r>
        <w:t>Workflow Stage: Draft</w:t>
      </w:r>
    </w:p>
    <w:p>
      <w:r>
        <w:t>Approved By: Not approved</w:t>
      </w:r>
    </w:p>
    <w:p>
      <w:r>
        <w:t>Approved At: Not approved</w:t>
      </w:r>
    </w:p>
    <w:p>
      <w:r>
        <w:t>Locked At: Not locked</w:t>
      </w:r>
    </w:p>
    <w:p>
      <w:r>
        <w:br/>
        <w:t>This report is an internal credit analysis aid and does not constitute a rating. Final investment decisions require analyst review and approval.</w:t>
      </w:r>
    </w:p>
    <w:sectPr w:rsidR="00FC693F" w:rsidRPr="0006063C" w:rsidSect="00034616">
      <w:footerReference w:type="default" r:id="rId9"/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Confidential - Internal Use Only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